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609600" cy="59262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09600" cy="59262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КОНТРОЛЬ</w:t>
      </w:r>
      <w:r>
        <w:rPr>
          <w:rFonts w:ascii="Times New Roman" w:hAnsi="Times New Roman"/>
          <w:b w:val="1"/>
          <w:sz w:val="28"/>
        </w:rPr>
        <w:t>НО</w:t>
      </w:r>
      <w:r>
        <w:rPr>
          <w:rFonts w:ascii="Times New Roman" w:hAnsi="Times New Roman"/>
          <w:b w:val="1"/>
          <w:sz w:val="28"/>
        </w:rPr>
        <w:t xml:space="preserve">-СЧЕТНАЯ КОМИССИЯ 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ШАРАНГСКОГО МУНИЦИПАЛЬНОГО ОКРУГА </w:t>
      </w:r>
    </w:p>
    <w:p w14:paraId="05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НИЖЕГОРОДСКОЙ ОБЛАСТИ </w:t>
      </w:r>
    </w:p>
    <w:p w14:paraId="06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before="0" w:line="240" w:lineRule="auto"/>
        <w:ind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Отчет</w:t>
      </w:r>
    </w:p>
    <w:p w14:paraId="08000000">
      <w:pPr>
        <w:spacing w:after="0" w:before="0" w:line="240" w:lineRule="auto"/>
        <w:ind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 результатах</w:t>
      </w:r>
      <w:r>
        <w:rPr>
          <w:rFonts w:ascii="Times New Roman" w:hAnsi="Times New Roman"/>
          <w:b w:val="1"/>
          <w:color w:val="000000"/>
          <w:sz w:val="28"/>
        </w:rPr>
        <w:t xml:space="preserve"> экс</w:t>
      </w:r>
      <w:r>
        <w:rPr>
          <w:rFonts w:ascii="Times New Roman" w:hAnsi="Times New Roman"/>
          <w:b w:val="1"/>
          <w:color w:val="000000"/>
          <w:sz w:val="28"/>
        </w:rPr>
        <w:t>пертно-аналитического</w:t>
      </w:r>
      <w:r>
        <w:rPr>
          <w:rFonts w:ascii="Times New Roman" w:hAnsi="Times New Roman"/>
          <w:b w:val="1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</w:rPr>
        <w:t>мероприятия</w:t>
      </w:r>
    </w:p>
    <w:p w14:paraId="09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«Камеральная</w:t>
      </w:r>
      <w:r>
        <w:rPr>
          <w:rFonts w:ascii="Times New Roman" w:hAnsi="Times New Roman"/>
          <w:b w:val="1"/>
          <w:color w:val="000000"/>
          <w:spacing w:val="23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внешняя</w:t>
      </w:r>
      <w:r>
        <w:rPr>
          <w:rFonts w:ascii="Times New Roman" w:hAnsi="Times New Roman"/>
          <w:b w:val="1"/>
          <w:color w:val="000000"/>
          <w:spacing w:val="16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проверка бюджетной </w:t>
      </w:r>
      <w:r>
        <w:rPr>
          <w:rFonts w:ascii="Times New Roman" w:hAnsi="Times New Roman"/>
          <w:b w:val="1"/>
          <w:color w:val="000000"/>
          <w:sz w:val="28"/>
        </w:rPr>
        <w:t>отчетности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 за 2025 год главных</w:t>
      </w:r>
      <w:r>
        <w:rPr>
          <w:rFonts w:ascii="Times New Roman" w:hAnsi="Times New Roman"/>
          <w:b w:val="1"/>
          <w:color w:val="000000"/>
          <w:sz w:val="28"/>
        </w:rPr>
        <w:t xml:space="preserve"> администраторов </w:t>
      </w:r>
      <w:r>
        <w:rPr>
          <w:rFonts w:ascii="Times New Roman" w:hAnsi="Times New Roman"/>
          <w:b w:val="1"/>
          <w:color w:val="000000"/>
          <w:sz w:val="28"/>
        </w:rPr>
        <w:t>бюджетных</w:t>
      </w:r>
      <w:r>
        <w:rPr>
          <w:rFonts w:ascii="Times New Roman" w:hAnsi="Times New Roman"/>
          <w:b w:val="1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средств</w:t>
      </w:r>
      <w:r>
        <w:rPr>
          <w:rFonts w:ascii="Times New Roman" w:hAnsi="Times New Roman"/>
          <w:b w:val="1"/>
          <w:color w:val="000000"/>
          <w:spacing w:val="-5"/>
          <w:sz w:val="28"/>
          <w:u w:val="none"/>
        </w:rPr>
        <w:t>»</w:t>
      </w:r>
    </w:p>
    <w:p w14:paraId="0A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р.п. Шаранга                                                                                            23.04.2026 г.</w:t>
      </w:r>
    </w:p>
    <w:p w14:paraId="0C000000">
      <w:pPr>
        <w:spacing w:before="5" w:line="240" w:lineRule="auto"/>
        <w:ind/>
        <w:rPr>
          <w:rFonts w:ascii="Times New Roman" w:hAnsi="Times New Roman"/>
        </w:rPr>
      </w:pPr>
    </w:p>
    <w:p w14:paraId="0D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1. Основание</w:t>
      </w:r>
      <w:r>
        <w:rPr>
          <w:rFonts w:ascii="Times New Roman" w:hAnsi="Times New Roman"/>
          <w:b w:val="1"/>
          <w:color w:val="000000"/>
          <w:sz w:val="28"/>
        </w:rPr>
        <w:tab/>
      </w:r>
      <w:r>
        <w:rPr>
          <w:rFonts w:ascii="Times New Roman" w:hAnsi="Times New Roman"/>
          <w:b w:val="1"/>
          <w:color w:val="000000"/>
          <w:spacing w:val="-4"/>
          <w:sz w:val="28"/>
        </w:rPr>
        <w:t>для</w:t>
      </w:r>
      <w:r>
        <w:rPr>
          <w:rFonts w:ascii="Times New Roman" w:hAnsi="Times New Roman"/>
          <w:b w:val="1"/>
          <w:color w:val="000000"/>
          <w:sz w:val="28"/>
        </w:rPr>
        <w:tab/>
      </w:r>
      <w:r>
        <w:rPr>
          <w:rFonts w:ascii="Times New Roman" w:hAnsi="Times New Roman"/>
          <w:b w:val="1"/>
          <w:color w:val="000000"/>
          <w:spacing w:val="-2"/>
          <w:sz w:val="28"/>
        </w:rPr>
        <w:t>проведения</w:t>
      </w:r>
      <w:r>
        <w:rPr>
          <w:rFonts w:ascii="Times New Roman" w:hAnsi="Times New Roman"/>
          <w:b w:val="1"/>
          <w:color w:val="000000"/>
          <w:sz w:val="28"/>
        </w:rPr>
        <w:tab/>
      </w:r>
      <w:r>
        <w:rPr>
          <w:rFonts w:ascii="Times New Roman" w:hAnsi="Times New Roman"/>
          <w:b w:val="1"/>
          <w:color w:val="000000"/>
          <w:spacing w:val="-2"/>
          <w:sz w:val="28"/>
        </w:rPr>
        <w:t>экспертно-аналитического</w:t>
      </w:r>
      <w:r>
        <w:rPr>
          <w:rFonts w:ascii="Times New Roman" w:hAnsi="Times New Roman"/>
          <w:b w:val="1"/>
          <w:color w:val="000000"/>
          <w:sz w:val="28"/>
        </w:rPr>
        <w:tab/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мероприятия: </w:t>
      </w:r>
      <w:r>
        <w:rPr>
          <w:rFonts w:ascii="Times New Roman" w:hAnsi="Times New Roman"/>
          <w:color w:val="000000"/>
          <w:spacing w:val="-2"/>
          <w:sz w:val="28"/>
        </w:rPr>
        <w:t>п.1.1. плана работы Контрольно-счетной комиссии Шарангского муниципального округа Нижегородской области на 2026 год, утвержденного распоряжением Контрольно-счетной комиссии Шарангского муниципального округа Нижегородской области от 26.12.2025 №19</w:t>
      </w:r>
      <w:r>
        <w:rPr>
          <w:rFonts w:ascii="Times New Roman" w:hAnsi="Times New Roman"/>
          <w:color w:val="000000"/>
          <w:sz w:val="28"/>
        </w:rPr>
        <w:t>.</w:t>
      </w:r>
    </w:p>
    <w:p w14:paraId="0E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Предмет</w:t>
      </w:r>
      <w:r>
        <w:rPr>
          <w:rFonts w:ascii="Times New Roman" w:hAnsi="Times New Roman"/>
          <w:b w:val="1"/>
          <w:color w:val="000000"/>
          <w:spacing w:val="75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экспертно-аналитического</w:t>
      </w:r>
      <w:r>
        <w:rPr>
          <w:rFonts w:ascii="Times New Roman" w:hAnsi="Times New Roman"/>
          <w:b w:val="1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мероприятия: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бюджетная отчетность главных администраторов бюджетных средств.</w:t>
      </w:r>
    </w:p>
    <w:p w14:paraId="0F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Цели экспертно-аналттического мероприятия:</w:t>
      </w:r>
    </w:p>
    <w:p w14:paraId="10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оценка соблюдения </w:t>
      </w:r>
      <w:r>
        <w:rPr>
          <w:rFonts w:ascii="Times New Roman" w:hAnsi="Times New Roman"/>
          <w:color w:val="000000"/>
          <w:sz w:val="28"/>
        </w:rPr>
        <w:t xml:space="preserve">ГАБС </w:t>
      </w:r>
      <w:r>
        <w:rPr>
          <w:rFonts w:ascii="Times New Roman" w:hAnsi="Times New Roman"/>
          <w:color w:val="000000"/>
          <w:sz w:val="28"/>
        </w:rPr>
        <w:t xml:space="preserve">сроков </w:t>
      </w:r>
      <w:r>
        <w:rPr>
          <w:rFonts w:ascii="Times New Roman" w:hAnsi="Times New Roman"/>
          <w:color w:val="000000"/>
          <w:sz w:val="28"/>
        </w:rPr>
        <w:t xml:space="preserve">представления </w:t>
      </w:r>
      <w:r>
        <w:rPr>
          <w:rFonts w:ascii="Times New Roman" w:hAnsi="Times New Roman"/>
          <w:color w:val="000000"/>
          <w:sz w:val="28"/>
        </w:rPr>
        <w:t>в Контрольно-счетную комиссию</w:t>
      </w:r>
      <w:r>
        <w:rPr>
          <w:rFonts w:ascii="Times New Roman" w:hAns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бюджетной </w:t>
      </w:r>
      <w:r>
        <w:rPr>
          <w:rFonts w:ascii="Times New Roman" w:hAnsi="Times New Roman"/>
          <w:color w:val="000000"/>
          <w:sz w:val="28"/>
        </w:rPr>
        <w:t xml:space="preserve">отчетности, установленных </w:t>
      </w:r>
      <w:r>
        <w:rPr>
          <w:rFonts w:ascii="Times New Roman" w:hAnsi="Times New Roman"/>
          <w:color w:val="000000"/>
          <w:sz w:val="28"/>
        </w:rPr>
        <w:t>частью 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статьи 38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Положения 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 xml:space="preserve">бюджетном </w:t>
      </w:r>
      <w:r>
        <w:rPr>
          <w:rFonts w:ascii="Times New Roman" w:hAnsi="Times New Roman"/>
          <w:color w:val="000000"/>
          <w:sz w:val="28"/>
        </w:rPr>
        <w:t xml:space="preserve">процессе </w:t>
      </w:r>
      <w:r>
        <w:rPr>
          <w:rFonts w:ascii="Times New Roman" w:hAnsi="Times New Roman"/>
          <w:color w:val="000000"/>
          <w:sz w:val="28"/>
        </w:rPr>
        <w:t>в Шарангско</w:t>
      </w:r>
      <w:r>
        <w:rPr>
          <w:rFonts w:ascii="Times New Roman" w:hAnsi="Times New Roman"/>
          <w:color w:val="000000"/>
          <w:sz w:val="28"/>
        </w:rPr>
        <w:t xml:space="preserve">м муниципальном округе </w:t>
      </w:r>
      <w:r>
        <w:rPr>
          <w:rFonts w:ascii="Times New Roman" w:hAnsi="Times New Roman"/>
          <w:color w:val="000000"/>
          <w:sz w:val="28"/>
        </w:rPr>
        <w:t xml:space="preserve">Нижегородской </w:t>
      </w:r>
      <w:r>
        <w:rPr>
          <w:rFonts w:ascii="Times New Roman" w:hAnsi="Times New Roman"/>
          <w:color w:val="000000"/>
          <w:sz w:val="28"/>
        </w:rPr>
        <w:t xml:space="preserve">области, </w:t>
      </w:r>
      <w:r>
        <w:rPr>
          <w:rFonts w:ascii="Times New Roman" w:hAnsi="Times New Roman"/>
          <w:color w:val="000000"/>
          <w:sz w:val="28"/>
        </w:rPr>
        <w:t xml:space="preserve">утвержденного решением </w:t>
      </w:r>
      <w:r>
        <w:rPr>
          <w:rFonts w:ascii="Times New Roman" w:hAnsi="Times New Roman"/>
          <w:color w:val="000000"/>
          <w:sz w:val="28"/>
        </w:rPr>
        <w:t xml:space="preserve">Совета </w:t>
      </w:r>
      <w:r>
        <w:rPr>
          <w:rFonts w:ascii="Times New Roman" w:hAnsi="Times New Roman"/>
          <w:color w:val="000000"/>
          <w:sz w:val="28"/>
        </w:rPr>
        <w:t xml:space="preserve">депутатов Шарангского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Нижегородской</w:t>
      </w:r>
      <w:r>
        <w:rPr>
          <w:rFonts w:ascii="Times New Roman" w:hAns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pacing w:val="-15"/>
          <w:sz w:val="28"/>
        </w:rPr>
        <w:t xml:space="preserve"> 27</w:t>
      </w:r>
      <w:r>
        <w:rPr>
          <w:rFonts w:ascii="Times New Roman" w:hAnsi="Times New Roman"/>
          <w:color w:val="000000"/>
          <w:sz w:val="28"/>
        </w:rPr>
        <w:t>.10.2022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№25</w:t>
      </w:r>
      <w:r>
        <w:rPr>
          <w:rFonts w:ascii="Times New Roman" w:hAnsi="Times New Roman"/>
          <w:color w:val="000000"/>
          <w:sz w:val="28"/>
        </w:rPr>
        <w:t>;</w:t>
      </w:r>
    </w:p>
    <w:p w14:paraId="11000000">
      <w:pPr>
        <w:numPr>
          <w:numId w:val="1"/>
        </w:num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оценка полноты и информативности годовой бюджетной отчетности ГАБС;</w:t>
      </w:r>
    </w:p>
    <w:p w14:paraId="12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-проверка </w:t>
      </w:r>
      <w:r>
        <w:rPr>
          <w:rFonts w:ascii="Times New Roman" w:hAnsi="Times New Roman"/>
          <w:color w:val="000000"/>
          <w:sz w:val="28"/>
        </w:rPr>
        <w:t xml:space="preserve">соблюдения </w:t>
      </w:r>
      <w:r>
        <w:rPr>
          <w:rFonts w:ascii="Times New Roman" w:hAnsi="Times New Roman"/>
          <w:color w:val="000000"/>
          <w:sz w:val="28"/>
        </w:rPr>
        <w:t xml:space="preserve">ГАБС </w:t>
      </w:r>
      <w:r>
        <w:rPr>
          <w:rFonts w:ascii="Times New Roman" w:hAnsi="Times New Roman"/>
          <w:color w:val="000000"/>
          <w:sz w:val="28"/>
        </w:rPr>
        <w:t xml:space="preserve">иных </w:t>
      </w:r>
      <w:r>
        <w:rPr>
          <w:rFonts w:ascii="Times New Roman" w:hAnsi="Times New Roman"/>
          <w:color w:val="000000"/>
          <w:sz w:val="28"/>
        </w:rPr>
        <w:t xml:space="preserve">требований, </w:t>
      </w:r>
      <w:r>
        <w:rPr>
          <w:rFonts w:ascii="Times New Roman" w:hAnsi="Times New Roman"/>
          <w:color w:val="000000"/>
          <w:sz w:val="28"/>
        </w:rPr>
        <w:t xml:space="preserve">установленных приказом </w:t>
      </w:r>
      <w:r>
        <w:rPr>
          <w:rFonts w:ascii="Times New Roman" w:hAnsi="Times New Roman"/>
          <w:color w:val="000000"/>
          <w:sz w:val="28"/>
        </w:rPr>
        <w:t xml:space="preserve">Минфина России </w:t>
      </w: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28.12.2010 </w:t>
      </w:r>
      <w:r>
        <w:rPr>
          <w:rFonts w:ascii="Times New Roman" w:hAnsi="Times New Roman"/>
          <w:color w:val="000000"/>
          <w:sz w:val="28"/>
        </w:rPr>
        <w:t xml:space="preserve">№ </w:t>
      </w:r>
      <w:r>
        <w:rPr>
          <w:rFonts w:ascii="Times New Roman" w:hAnsi="Times New Roman"/>
          <w:color w:val="000000"/>
          <w:sz w:val="28"/>
        </w:rPr>
        <w:t xml:space="preserve">l91н </w:t>
      </w:r>
      <w:r>
        <w:rPr>
          <w:rFonts w:ascii="Times New Roman" w:hAnsi="Times New Roman"/>
          <w:color w:val="000000"/>
          <w:sz w:val="28"/>
        </w:rPr>
        <w:t xml:space="preserve">«Об </w:t>
      </w:r>
      <w:r>
        <w:rPr>
          <w:rFonts w:ascii="Times New Roman" w:hAnsi="Times New Roman"/>
          <w:color w:val="000000"/>
          <w:sz w:val="28"/>
        </w:rPr>
        <w:t xml:space="preserve">утверждении </w:t>
      </w:r>
      <w:r>
        <w:rPr>
          <w:rFonts w:ascii="Times New Roman" w:hAnsi="Times New Roman"/>
          <w:color w:val="000000"/>
          <w:spacing w:val="-2"/>
          <w:sz w:val="28"/>
        </w:rPr>
        <w:t>Инструкции</w:t>
      </w:r>
      <w:r>
        <w:rPr>
          <w:rFonts w:ascii="Times New Roman" w:hAns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о</w:t>
      </w:r>
      <w:r>
        <w:rPr>
          <w:rFonts w:ascii="Times New Roman" w:hAns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порядке</w:t>
      </w:r>
      <w:r>
        <w:rPr>
          <w:rFonts w:ascii="Times New Roman" w:hAns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составления</w:t>
      </w:r>
      <w:r>
        <w:rPr>
          <w:rFonts w:ascii="Times New Roman" w:hAns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и</w:t>
      </w:r>
      <w:r>
        <w:rPr>
          <w:rFonts w:ascii="Times New Roman" w:hAns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представления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годовой,</w:t>
      </w:r>
      <w:r>
        <w:rPr>
          <w:rFonts w:ascii="Times New Roman" w:hAns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квартальной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месячной </w:t>
      </w:r>
      <w:r>
        <w:rPr>
          <w:rFonts w:ascii="Times New Roman" w:hAnsi="Times New Roman"/>
          <w:color w:val="000000"/>
          <w:sz w:val="28"/>
        </w:rPr>
        <w:t xml:space="preserve">отчетности </w:t>
      </w:r>
      <w:r>
        <w:rPr>
          <w:rFonts w:ascii="Times New Roman" w:hAnsi="Times New Roman"/>
          <w:color w:val="000000"/>
          <w:sz w:val="28"/>
        </w:rPr>
        <w:t xml:space="preserve">об </w:t>
      </w:r>
      <w:r>
        <w:rPr>
          <w:rFonts w:ascii="Times New Roman" w:hAnsi="Times New Roman"/>
          <w:color w:val="000000"/>
          <w:sz w:val="28"/>
        </w:rPr>
        <w:t xml:space="preserve">исполнении </w:t>
      </w:r>
      <w:r>
        <w:rPr>
          <w:rFonts w:ascii="Times New Roman" w:hAnsi="Times New Roman"/>
          <w:color w:val="000000"/>
          <w:sz w:val="28"/>
        </w:rPr>
        <w:t xml:space="preserve">бюджетов </w:t>
      </w:r>
      <w:r>
        <w:rPr>
          <w:rFonts w:ascii="Times New Roman" w:hAnsi="Times New Roman"/>
          <w:color w:val="000000"/>
          <w:sz w:val="28"/>
        </w:rPr>
        <w:t xml:space="preserve">бюджетной </w:t>
      </w:r>
      <w:r>
        <w:rPr>
          <w:rFonts w:ascii="Times New Roman" w:hAnsi="Times New Roman"/>
          <w:color w:val="000000"/>
          <w:sz w:val="28"/>
        </w:rPr>
        <w:t xml:space="preserve">системы </w:t>
      </w:r>
      <w:r>
        <w:rPr>
          <w:rFonts w:ascii="Times New Roman" w:hAnsi="Times New Roman"/>
          <w:color w:val="000000"/>
          <w:sz w:val="28"/>
        </w:rPr>
        <w:t>Российской Федерации»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требующих </w:t>
      </w:r>
      <w:r>
        <w:rPr>
          <w:rFonts w:ascii="Times New Roman" w:hAnsi="Times New Roman"/>
          <w:color w:val="000000"/>
          <w:spacing w:val="-4"/>
          <w:sz w:val="28"/>
        </w:rPr>
        <w:t>проверки первичных</w:t>
      </w:r>
      <w:r>
        <w:rPr>
          <w:rFonts w:ascii="Times New Roman" w:hAns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учетных</w:t>
      </w:r>
      <w:r>
        <w:rPr>
          <w:rFonts w:ascii="Times New Roman" w:hAns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документов</w:t>
      </w:r>
      <w:r>
        <w:rPr>
          <w:rFonts w:ascii="Times New Roman" w:hAns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и</w:t>
      </w:r>
      <w:r>
        <w:rPr>
          <w:rFonts w:ascii="Times New Roman" w:hAns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регистров бухгалтерского</w:t>
      </w:r>
      <w:r>
        <w:rPr>
          <w:rFonts w:ascii="Times New Roman" w:hAns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учета.</w:t>
      </w:r>
    </w:p>
    <w:p w14:paraId="13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Объекты</w:t>
      </w:r>
      <w:r>
        <w:rPr>
          <w:rFonts w:ascii="Times New Roman" w:hAnsi="Times New Roman"/>
          <w:b w:val="1"/>
          <w:color w:val="000000"/>
          <w:spacing w:val="47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экспертно-аналитического</w:t>
      </w:r>
      <w:r>
        <w:rPr>
          <w:rFonts w:ascii="Times New Roman" w:hAnsi="Times New Roman"/>
          <w:b w:val="1"/>
          <w:color w:val="000000"/>
          <w:spacing w:val="65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</w:rPr>
        <w:t>мероприятия:</w:t>
      </w:r>
    </w:p>
    <w:p w14:paraId="14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Финансовое управление администрации Шарангского муниципального округа Нижегородской области</w:t>
      </w:r>
      <w:r>
        <w:rPr>
          <w:rFonts w:ascii="Times New Roman" w:hAnsi="Times New Roman"/>
          <w:b w:val="1"/>
          <w:color w:val="000000"/>
          <w:sz w:val="28"/>
        </w:rPr>
        <w:t>;</w:t>
      </w:r>
    </w:p>
    <w:p w14:paraId="15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Отдел культуры, туризма и народных художественных промыслов администрации Шарангского муниципального округа Нижегородской области;</w:t>
      </w:r>
    </w:p>
    <w:p w14:paraId="16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Управление образования и молодежной политики администрации Шарангского муниципального округа Нижегородской области;</w:t>
      </w:r>
    </w:p>
    <w:p w14:paraId="17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Управление сельского хозяйства администрации Шарангского муниципального округа Нижегородской области;</w:t>
      </w:r>
    </w:p>
    <w:p w14:paraId="18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Контрольно-счетная комиссия Шарангского муниципального округа Нижегородской области;</w:t>
      </w:r>
    </w:p>
    <w:p w14:paraId="19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Совет депутатов Шарангского муниципального округа Нижегородской области;</w:t>
      </w:r>
    </w:p>
    <w:p w14:paraId="1A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Отдел по управлению муниципальным имуществом администрации Шарангского муниципального округа Нижегородской области;</w:t>
      </w:r>
    </w:p>
    <w:p w14:paraId="1B000000">
      <w:pPr>
        <w:tabs>
          <w:tab w:leader="none" w:pos="799" w:val="left"/>
          <w:tab w:leader="none" w:pos="2295" w:val="left"/>
          <w:tab w:leader="none" w:pos="2906" w:val="left"/>
          <w:tab w:leader="none" w:pos="4488" w:val="left"/>
          <w:tab w:leader="none" w:pos="7855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 Администрация Шарангского муниципального округа Нижегородской области.</w:t>
      </w:r>
    </w:p>
    <w:p w14:paraId="1C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5. </w:t>
      </w:r>
      <w:r>
        <w:rPr>
          <w:rFonts w:ascii="Times New Roman" w:hAnsi="Times New Roman"/>
          <w:b w:val="1"/>
          <w:color w:val="000000"/>
          <w:sz w:val="28"/>
        </w:rPr>
        <w:t>Исследуемый</w:t>
      </w:r>
      <w:r>
        <w:rPr>
          <w:rFonts w:ascii="Times New Roman" w:hAnsi="Times New Roman"/>
          <w:b w:val="1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период: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2025 год</w:t>
      </w:r>
    </w:p>
    <w:p w14:paraId="1D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6.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Сроки проведения экспертно-аналитического мероприятия:</w:t>
      </w:r>
      <w:r>
        <w:rPr>
          <w:rFonts w:ascii="Times New Roman" w:hAnsi="Times New Roman"/>
          <w:color w:val="000000"/>
          <w:sz w:val="28"/>
        </w:rPr>
        <w:t xml:space="preserve"> с 01 апреля 2026 г. по 30 апреля 2026г.</w:t>
      </w:r>
    </w:p>
    <w:p w14:paraId="1E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7. Результаты экспертно-аналитического мероприятия: </w:t>
      </w:r>
    </w:p>
    <w:p w14:paraId="1F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Своевременность предоставления бюджетной отчетности, установленная пунктом 3 статьи 38 </w:t>
      </w:r>
      <w:r>
        <w:rPr>
          <w:rFonts w:ascii="Times New Roman" w:hAnsi="Times New Roman"/>
          <w:sz w:val="28"/>
        </w:rPr>
        <w:t>Положения о бюджетном процессе в Шарангском муниципальном округе Нижегородской области (не позднее 1 апреля текущего финансового года)</w:t>
      </w:r>
      <w:r>
        <w:rPr>
          <w:rFonts w:ascii="Times New Roman" w:hAnsi="Times New Roman"/>
          <w:b w:val="0"/>
          <w:sz w:val="28"/>
        </w:rPr>
        <w:t>, соблюдена всеми ГРБС.</w:t>
      </w:r>
    </w:p>
    <w:p w14:paraId="20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Контрольно-счетная комиссия отмечает следующие нарушения (недостатки) требований Инструкции №191н о</w:t>
      </w:r>
      <w:r>
        <w:rPr>
          <w:rFonts w:ascii="Times New Roman" w:hAnsi="Times New Roman"/>
          <w:b w:val="0"/>
          <w:sz w:val="28"/>
        </w:rPr>
        <w:t>тносительно правильности заполнения форм</w:t>
      </w:r>
      <w:r>
        <w:rPr>
          <w:rFonts w:ascii="Times New Roman" w:hAnsi="Times New Roman"/>
          <w:b w:val="0"/>
          <w:sz w:val="28"/>
        </w:rPr>
        <w:t xml:space="preserve"> годовой бюджетной отчетности:</w:t>
      </w:r>
    </w:p>
    <w:p w14:paraId="21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-п.4 бюджетная отчетность за 2025 год представлена в непронумерованном виде без оглавления (1 ГАБС);</w:t>
      </w:r>
    </w:p>
    <w:p w14:paraId="22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-п.8 не в полном объеме отражена информация о формах отчетности, которые не представлены в виду отсутствия числовых значений показателей (2 ГАБС);</w:t>
      </w:r>
    </w:p>
    <w:p w14:paraId="23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-п.159.9 в части </w:t>
      </w:r>
      <w:r>
        <w:rPr>
          <w:rFonts w:ascii="Times New Roman" w:hAnsi="Times New Roman"/>
          <w:b w:val="0"/>
          <w:sz w:val="28"/>
        </w:rPr>
        <w:t>отражения в Таблице №16 перечня форм отчетности, не включенных в состав бюджетной отчетности за отчетный период,</w:t>
      </w:r>
      <w:r>
        <w:rPr>
          <w:rFonts w:ascii="Times New Roman" w:hAnsi="Times New Roman"/>
          <w:b w:val="0"/>
          <w:color w:val="000000"/>
          <w:sz w:val="28"/>
        </w:rPr>
        <w:t xml:space="preserve"> ввиду отсутствия числ</w:t>
      </w:r>
      <w:r>
        <w:rPr>
          <w:rFonts w:ascii="Times New Roman" w:hAnsi="Times New Roman"/>
          <w:b w:val="0"/>
          <w:sz w:val="28"/>
        </w:rPr>
        <w:t xml:space="preserve">овых значений показателей (1 ГАБС); </w:t>
      </w:r>
    </w:p>
    <w:p w14:paraId="24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-п.</w:t>
      </w:r>
      <w:r>
        <w:rPr>
          <w:rFonts w:ascii="Times New Roman" w:hAnsi="Times New Roman"/>
          <w:b w:val="0"/>
          <w:color w:val="000000"/>
          <w:sz w:val="28"/>
        </w:rPr>
        <w:t>163 не раскрыты причины отклонений от плановых показат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елей ф.0503164 (2 ГАБС)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25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Полнота бюджетной отчетности в целом подтверждена у 8 ГАБС. При этом:</w:t>
      </w:r>
    </w:p>
    <w:p w14:paraId="26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-в состав бюджетной отчетности 3 ГАБС включены формы, которые исключены из состава бюджетной отчетности Приказом Минфина России от 04.08.2025г. №102н;</w:t>
      </w:r>
    </w:p>
    <w:p w14:paraId="27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 нарушение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п.68.1, 73.1 Инструкции №191н при наличии бюджетных обязательств на реализацию национального проекта в состав отчетности не была представлена ф.0503128-НП «Отчет о бюджетных обязательствах» (1 ГАБС).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</w:p>
    <w:p w14:paraId="28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Информативность, представленной бюджетной отчетности, в целом подтверждена у 8 ГАБС, за исключением информативности отдельных форм 2 ГАБС (в Пояснительной записке содержится неверная информац</w:t>
      </w:r>
      <w:r>
        <w:rPr>
          <w:rFonts w:ascii="Times New Roman" w:hAnsi="Times New Roman"/>
          <w:b w:val="0"/>
          <w:sz w:val="28"/>
        </w:rPr>
        <w:t xml:space="preserve">ия; </w:t>
      </w:r>
      <w:r>
        <w:rPr>
          <w:rFonts w:ascii="Times New Roman" w:hAnsi="Times New Roman"/>
          <w:b w:val="0"/>
          <w:sz w:val="28"/>
        </w:rPr>
        <w:t>не раскрыты причины отклонений от планового процента исполнения по расходам ф.0503164 «Сведения об исполнении бюджета»</w:t>
      </w:r>
      <w:r>
        <w:rPr>
          <w:rFonts w:ascii="Times New Roman" w:hAnsi="Times New Roman"/>
          <w:b w:val="0"/>
          <w:sz w:val="28"/>
        </w:rPr>
        <w:t>).</w:t>
      </w:r>
    </w:p>
    <w:p w14:paraId="29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Контрольно-счетная комиссия отмечает, что всеми ГАБС соблюдены требования Ф</w:t>
      </w:r>
      <w:r>
        <w:rPr>
          <w:rFonts w:ascii="Times New Roman" w:hAnsi="Times New Roman"/>
          <w:b w:val="0"/>
          <w:sz w:val="28"/>
        </w:rPr>
        <w:t xml:space="preserve">едерального стандарта бухгалтерского учета для организаций государственного сектора «Учетная политика, оценочные значения и ошибки», </w:t>
      </w:r>
      <w:r>
        <w:rPr>
          <w:rFonts w:ascii="Times New Roman" w:hAnsi="Times New Roman"/>
          <w:b w:val="0"/>
          <w:i w:val="0"/>
          <w:sz w:val="28"/>
        </w:rPr>
        <w:t>у</w:t>
      </w:r>
      <w:r>
        <w:rPr>
          <w:rFonts w:ascii="Times New Roman" w:hAnsi="Times New Roman"/>
          <w:b w:val="0"/>
          <w:i w:val="0"/>
          <w:color w:val="000000"/>
          <w:sz w:val="28"/>
        </w:rPr>
        <w:t>твержденного приказом Министерства финансов Российской Федерации от 30.12.2017 №274н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(пункт 9) в части размещения </w:t>
      </w:r>
      <w:r>
        <w:rPr>
          <w:rFonts w:ascii="Times New Roman" w:hAnsi="Times New Roman"/>
          <w:b w:val="0"/>
          <w:sz w:val="28"/>
        </w:rPr>
        <w:t>на официальных сайтах в информационно-телекоммуникационной сети «Интернет» основных положений либо копии учетной политики.</w:t>
      </w:r>
    </w:p>
    <w:p w14:paraId="2A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 Выводы и предложения.</w:t>
      </w:r>
    </w:p>
    <w:p w14:paraId="2B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По результатам проведения камеральной внешней проверки годовой бюджетной отчетности по каждому ГАБС подготовлено и направлено Заключение, содержащее установленные нарушения (недостатки)</w:t>
      </w:r>
      <w:r>
        <w:rPr>
          <w:rFonts w:ascii="Times New Roman" w:hAnsi="Times New Roman"/>
          <w:b w:val="0"/>
          <w:sz w:val="28"/>
        </w:rPr>
        <w:t>, дано предложение</w:t>
      </w:r>
      <w:r>
        <w:rPr>
          <w:rFonts w:ascii="Times New Roman" w:hAnsi="Times New Roman"/>
          <w:b w:val="0"/>
          <w:color w:val="000000"/>
          <w:sz w:val="28"/>
        </w:rPr>
        <w:t xml:space="preserve"> усилить контроль за соблюдением порядка составления бюджетной отчетности.</w:t>
      </w:r>
    </w:p>
    <w:p w14:paraId="2C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</w:p>
    <w:p w14:paraId="2D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2E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2F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</w:p>
    <w:p w14:paraId="30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tabs>
          <w:tab w:leader="none" w:pos="809" w:val="left"/>
          <w:tab w:leader="none" w:pos="6373" w:val="left"/>
        </w:tabs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Председатель                                                                                         А.М. Киселева</w:t>
      </w:r>
    </w:p>
    <w:sectPr>
      <w:footerReference r:id="rId1" w:type="default"/>
      <w:pgSz w:h="16838" w:orient="portrait" w:w="11906"/>
      <w:pgMar w:bottom="1134" w:footer="709" w:gutter="0" w:header="709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rPr>
        <w:rFonts w:ascii="Times New Roman" w:hAnsi="Times New Roman"/>
      </w:rPr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Vladimir Script" w:hAnsi="Vladimir Script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6_ch" w:type="character">
    <w:name w:val="heading 3"/>
    <w:basedOn w:val="Style_1_ch"/>
    <w:link w:val="Style_6"/>
    <w:rPr>
      <w:rFonts w:asciiTheme="majorAscii" w:hAnsiTheme="majorHAnsi"/>
      <w:b w:val="1"/>
      <w:color w:themeColor="accent1" w:val="4F81BD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basedOn w:val="Style_1"/>
    <w:next w:val="Style_1"/>
    <w:link w:val="Style_11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1_ch" w:type="character">
    <w:name w:val="heading 1"/>
    <w:basedOn w:val="Style_1_ch"/>
    <w:link w:val="Style_11"/>
    <w:rPr>
      <w:rFonts w:asciiTheme="majorAscii" w:hAnsiTheme="majorHAnsi"/>
      <w:b w:val="1"/>
      <w:color w:themeColor="accent1" w:themeShade="BF" w:val="366091"/>
      <w:sz w:val="28"/>
    </w:rPr>
  </w:style>
  <w:style w:styleId="Style_12" w:type="paragraph">
    <w:name w:val="Hyperlink"/>
    <w:link w:val="Style_12_ch"/>
    <w:rPr>
      <w:strike w:val="0"/>
      <w:color w:val="000000"/>
      <w:u w:val="none"/>
    </w:rPr>
  </w:style>
  <w:style w:styleId="Style_12_ch" w:type="character">
    <w:name w:val="Hyperlink"/>
    <w:link w:val="Style_12"/>
    <w:rPr>
      <w:strike w:val="0"/>
      <w:color w:val="000000"/>
      <w:u w:val="non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1_ch"/>
    <w:link w:val="Style_18"/>
    <w:rPr>
      <w:rFonts w:ascii="Tahoma" w:hAnsi="Tahoma"/>
      <w:sz w:val="16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Заголовок №1"/>
    <w:basedOn w:val="Style_1"/>
    <w:link w:val="Style_21_ch"/>
    <w:pPr>
      <w:widowControl w:val="0"/>
      <w:spacing w:after="0" w:line="370" w:lineRule="exact"/>
      <w:ind/>
      <w:jc w:val="both"/>
      <w:outlineLvl w:val="0"/>
    </w:pPr>
    <w:rPr>
      <w:b w:val="1"/>
      <w:spacing w:val="3"/>
      <w:sz w:val="28"/>
    </w:rPr>
  </w:style>
  <w:style w:styleId="Style_21_ch" w:type="character">
    <w:name w:val="Заголовок №1"/>
    <w:basedOn w:val="Style_1_ch"/>
    <w:link w:val="Style_21"/>
    <w:rPr>
      <w:b w:val="1"/>
      <w:spacing w:val="3"/>
      <w:sz w:val="28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basedOn w:val="Style_1"/>
    <w:next w:val="Style_1"/>
    <w:link w:val="Style_24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Arial" w:hAnsi="Arial"/>
      <w:sz w:val="24"/>
    </w:rPr>
  </w:style>
  <w:style w:styleId="Style_24_ch" w:type="character">
    <w:name w:val="heading 2"/>
    <w:basedOn w:val="Style_1_ch"/>
    <w:link w:val="Style_24"/>
    <w:rPr>
      <w:rFonts w:ascii="Arial" w:hAnsi="Arial"/>
      <w:sz w:val="24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2026-04-23T11:39:43Z</dcterms:modified>
</cp:coreProperties>
</file>